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51218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  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</w:t>
      </w:r>
      <w:r>
        <w:rPr>
          <w:rFonts w:ascii="Arial" w:hAnsi="Arial" w:cs="Arial"/>
          <w:b/>
          <w:bCs/>
          <w:highlight w:val="none"/>
        </w:rPr>
        <w:t>R4-2</w:t>
      </w:r>
      <w:bookmarkEnd w:id="0"/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506417</w:t>
      </w:r>
      <w:bookmarkStart w:id="15" w:name="_GoBack"/>
      <w:bookmarkEnd w:id="15"/>
    </w:p>
    <w:p w14:paraId="40B0881F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Yu Mincho Light" w:cs="Arial"/>
          <w:b/>
          <w:bCs/>
          <w:sz w:val="24"/>
          <w:szCs w:val="24"/>
          <w:lang w:val="en-US" w:eastAsia="zh-CN" w:bidi="ar-SA"/>
        </w:rPr>
      </w:pPr>
      <w:r>
        <w:rPr>
          <w:rFonts w:hint="eastAsia" w:ascii="Arial" w:hAnsi="Arial" w:eastAsia="Yu Mincho Light" w:cs="Arial"/>
          <w:b/>
          <w:bCs/>
          <w:sz w:val="24"/>
          <w:szCs w:val="24"/>
          <w:lang w:val="en-US" w:eastAsia="zh-CN" w:bidi="ar-SA"/>
        </w:rPr>
        <w:t>Malta, MT,</w:t>
      </w:r>
      <w:r>
        <w:rPr>
          <w:rFonts w:ascii="Arial" w:hAnsi="Arial" w:eastAsia="Yu Mincho Light" w:cs="Arial"/>
          <w:b/>
          <w:bCs/>
          <w:sz w:val="24"/>
          <w:szCs w:val="24"/>
          <w:lang w:val="en-US" w:eastAsia="zh-CN" w:bidi="ar-SA"/>
        </w:rPr>
        <w:t xml:space="preserve"> 1</w:t>
      </w:r>
      <w:r>
        <w:rPr>
          <w:rFonts w:hint="eastAsia" w:ascii="Arial" w:hAnsi="Arial" w:eastAsia="Yu Mincho Light" w:cs="Arial"/>
          <w:b/>
          <w:bCs/>
          <w:sz w:val="24"/>
          <w:szCs w:val="24"/>
          <w:lang w:val="en-US" w:eastAsia="zh-CN" w:bidi="ar-SA"/>
        </w:rPr>
        <w:t>9</w:t>
      </w:r>
      <w:r>
        <w:rPr>
          <w:rFonts w:ascii="Arial" w:hAnsi="Arial" w:eastAsia="Yu Mincho Light" w:cs="Arial"/>
          <w:b/>
          <w:bCs/>
          <w:sz w:val="24"/>
          <w:szCs w:val="24"/>
          <w:vertAlign w:val="superscript"/>
          <w:lang w:val="en-US" w:eastAsia="zh-CN" w:bidi="ar-SA"/>
        </w:rPr>
        <w:t>th</w:t>
      </w:r>
      <w:r>
        <w:rPr>
          <w:rFonts w:ascii="Arial" w:hAnsi="Arial" w:eastAsia="Yu Mincho Light" w:cs="Arial"/>
          <w:b/>
          <w:bCs/>
          <w:sz w:val="24"/>
          <w:szCs w:val="24"/>
          <w:lang w:val="en-US" w:eastAsia="zh-CN" w:bidi="ar-SA"/>
        </w:rPr>
        <w:t xml:space="preserve"> – 2</w:t>
      </w:r>
      <w:r>
        <w:rPr>
          <w:rFonts w:hint="eastAsia" w:ascii="Arial" w:hAnsi="Arial" w:eastAsia="Yu Mincho Light" w:cs="Arial"/>
          <w:b/>
          <w:bCs/>
          <w:sz w:val="24"/>
          <w:szCs w:val="24"/>
          <w:lang w:val="en-US" w:eastAsia="zh-CN" w:bidi="ar-SA"/>
        </w:rPr>
        <w:t>3</w:t>
      </w:r>
      <w:r>
        <w:rPr>
          <w:rFonts w:hint="eastAsia" w:ascii="Arial" w:hAnsi="Arial" w:eastAsia="Yu Mincho Light" w:cs="Arial"/>
          <w:b/>
          <w:bCs/>
          <w:sz w:val="24"/>
          <w:szCs w:val="24"/>
          <w:vertAlign w:val="superscript"/>
          <w:lang w:val="en-US" w:eastAsia="zh-CN" w:bidi="ar-SA"/>
        </w:rPr>
        <w:t>rd</w:t>
      </w:r>
      <w:r>
        <w:rPr>
          <w:rFonts w:ascii="Arial" w:hAnsi="Arial" w:eastAsia="Yu Mincho Light" w:cs="Arial"/>
          <w:b/>
          <w:bCs/>
          <w:sz w:val="24"/>
          <w:szCs w:val="24"/>
          <w:lang w:val="en-US" w:eastAsia="zh-CN" w:bidi="ar-SA"/>
        </w:rPr>
        <w:t xml:space="preserve"> </w:t>
      </w:r>
      <w:r>
        <w:rPr>
          <w:rFonts w:hint="eastAsia" w:ascii="Arial" w:hAnsi="Arial" w:eastAsia="Yu Mincho Light" w:cs="Arial"/>
          <w:b/>
          <w:bCs/>
          <w:sz w:val="24"/>
          <w:szCs w:val="24"/>
          <w:lang w:val="en-US" w:eastAsia="zh-CN" w:bidi="ar-SA"/>
        </w:rPr>
        <w:t>May</w:t>
      </w:r>
      <w:r>
        <w:rPr>
          <w:rFonts w:ascii="Arial" w:hAnsi="Arial" w:eastAsia="Yu Mincho Light" w:cs="Arial"/>
          <w:b/>
          <w:bCs/>
          <w:sz w:val="24"/>
          <w:szCs w:val="24"/>
          <w:lang w:val="en-US" w:eastAsia="zh-CN" w:bidi="ar-SA"/>
        </w:rPr>
        <w:t>, 2025</w:t>
      </w:r>
    </w:p>
    <w:p w14:paraId="3C672F29">
      <w:pPr>
        <w:tabs>
          <w:tab w:val="left" w:pos="1985"/>
        </w:tabs>
        <w:rPr>
          <w:b/>
          <w:sz w:val="22"/>
        </w:rPr>
      </w:pPr>
    </w:p>
    <w:p w14:paraId="41492646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7.17.3</w:t>
      </w:r>
    </w:p>
    <w:p w14:paraId="00837144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1E2880FB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>Discussion on interf</w:t>
      </w:r>
      <w:r>
        <w:rPr>
          <w:rFonts w:hint="eastAsia" w:eastAsia="宋体"/>
          <w:sz w:val="22"/>
          <w:lang w:val="en-US" w:eastAsia="zh-CN"/>
        </w:rPr>
        <w:t>e</w:t>
      </w:r>
      <w:r>
        <w:rPr>
          <w:rFonts w:hint="eastAsia"/>
          <w:sz w:val="22"/>
        </w:rPr>
        <w:t>rence suppressing</w:t>
      </w:r>
      <w:r>
        <w:rPr>
          <w:rFonts w:hint="eastAsia" w:eastAsia="宋体"/>
          <w:sz w:val="22"/>
          <w:lang w:val="en-US" w:eastAsia="zh-CN"/>
        </w:rPr>
        <w:t xml:space="preserve"> performance</w:t>
      </w:r>
      <w:r>
        <w:rPr>
          <w:rFonts w:hint="eastAsia"/>
          <w:sz w:val="22"/>
        </w:rPr>
        <w:t xml:space="preserve"> for </w:t>
      </w:r>
      <w:r>
        <w:rPr>
          <w:rFonts w:hint="eastAsia" w:eastAsia="宋体"/>
          <w:sz w:val="22"/>
          <w:lang w:val="en-US" w:eastAsia="zh-CN"/>
        </w:rPr>
        <w:t>8Rx UE</w:t>
      </w:r>
    </w:p>
    <w:bookmarkEnd w:id="2"/>
    <w:bookmarkEnd w:id="3"/>
    <w:p w14:paraId="4ADA15C3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611534F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AFF18DD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In last meeting, RAN4 discussed test parameters about interference suppressing performance for 8Rx UE, the WF has been approved in [1].</w:t>
      </w:r>
    </w:p>
    <w:p w14:paraId="506C437F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In this contribution, we further discuss the remaining open issues about test applicability and release independent.</w:t>
      </w:r>
    </w:p>
    <w:p w14:paraId="25A6ECA6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2"/>
      <w:bookmarkStart w:id="5" w:name="OLE_LINK1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 w14:paraId="5BE00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sz w:val="20"/>
          <w:szCs w:val="20"/>
          <w:u w:val="single"/>
          <w:lang w:val="en-US" w:eastAsia="ko-KR"/>
        </w:rPr>
      </w:pPr>
      <w:bookmarkStart w:id="6" w:name="_Hlk70326378"/>
      <w:r>
        <w:rPr>
          <w:b/>
          <w:i/>
          <w:iCs/>
          <w:sz w:val="20"/>
          <w:szCs w:val="20"/>
          <w:u w:val="single"/>
          <w:lang w:val="en-US" w:eastAsia="ko-KR"/>
        </w:rPr>
        <w:t>Test applicability to skip 2/4Rx requirements</w:t>
      </w:r>
    </w:p>
    <w:p w14:paraId="3A910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Proposals</w:t>
      </w:r>
    </w:p>
    <w:p w14:paraId="69211D02">
      <w:pPr>
        <w:pStyle w:val="7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646" w:hanging="363" w:firstLineChars="0"/>
        <w:textAlignment w:val="auto"/>
        <w:rPr>
          <w:szCs w:val="24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</w:t>
      </w:r>
      <w:r>
        <w:rPr>
          <w:rFonts w:eastAsia="宋体"/>
          <w:i/>
          <w:iCs/>
          <w:sz w:val="20"/>
          <w:szCs w:val="20"/>
          <w:lang w:val="en-US" w:eastAsia="zh-TW"/>
        </w:rPr>
        <w:t xml:space="preserve"> 1:</w:t>
      </w:r>
      <w:r>
        <w:rPr>
          <w:rFonts w:eastAsiaTheme="minorEastAsia"/>
          <w:bCs/>
          <w:lang w:val="en-US" w:eastAsia="zh-TW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For UEs supporting 8Rx, 2Rx and/or 4Rx, if UE passes 8Rx tests for inter-cell interference (PDSCH and CQI) and intra-cell inter-user interference (PDSCH), the 2 and/or 4Rx tests for inter-cell interference (PDSCH and CQI) and intra-cell inter-user interference (PDSCH) can be skipped, no matter same test configurations as 2RX/4RX are defined or not.</w:t>
      </w:r>
    </w:p>
    <w:p w14:paraId="3662C8F8">
      <w:pPr>
        <w:pStyle w:val="7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szCs w:val="24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 2:</w:t>
      </w:r>
      <w:r>
        <w:rPr>
          <w:szCs w:val="24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To consider if UEs supporting both 8Rx and 2/4Rx, the 2/4Rx tests under inter cell interference and under intra cell inter user interference can be skipped if the corresponding 8Rx requirements are passed.</w:t>
      </w:r>
    </w:p>
    <w:p w14:paraId="06C49383">
      <w:pPr>
        <w:pStyle w:val="7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szCs w:val="24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 3:</w:t>
      </w:r>
      <w:r>
        <w:rPr>
          <w:szCs w:val="24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For UEs supporting both 8Rx and 2/4Rx, the 2/4Rx tests under inter cell interference and under intra cell inter user interference can be skipped if the corresponding 8Rx requirements are passed.</w:t>
      </w:r>
    </w:p>
    <w:p w14:paraId="3E5BABA8">
      <w:pPr>
        <w:pStyle w:val="7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szCs w:val="24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4: </w:t>
      </w:r>
      <w:r>
        <w:rPr>
          <w:szCs w:val="24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Introduce test applicability under inter-cell interference and under intra-cell inter user interference to skip a 2/4Rx requirement if at least the following applies for each considered 8Rx test: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- UE support both 8Rx and 2/4Rx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- The UE passes an 8Rx requirement with same rank and interference configuration as the 2/4Rx requirement.</w:t>
      </w:r>
    </w:p>
    <w:p w14:paraId="5DD5262B">
      <w:pPr>
        <w:pStyle w:val="7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szCs w:val="24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 5:</w:t>
      </w:r>
      <w:r>
        <w:rPr>
          <w:rFonts w:eastAsia="宋体"/>
          <w:szCs w:val="24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RAN4 shall have the following applicability rules: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- UE that passes Rank2 ICI test case with 8Rx shall skip Rank1 ICI requirements with 4Rx.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- UE that passes Rank2 MU-MIMO test case with 8Rx shall skip Rank1/2 MU-MIMO requirements with 4Rx.</w:t>
      </w:r>
    </w:p>
    <w:p w14:paraId="527F8AC5"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</w:t>
      </w:r>
      <w:bookmarkStart w:id="7" w:name="OLE_LINK12"/>
      <w:r>
        <w:rPr>
          <w:rFonts w:hint="eastAsia"/>
          <w:sz w:val="20"/>
          <w:szCs w:val="20"/>
          <w:lang w:val="en-US" w:eastAsia="zh-CN"/>
        </w:rPr>
        <w:t>demodulation test of</w:t>
      </w:r>
      <w:bookmarkEnd w:id="7"/>
      <w:r>
        <w:rPr>
          <w:rFonts w:hint="eastAsia"/>
          <w:sz w:val="20"/>
          <w:szCs w:val="20"/>
          <w:lang w:val="en-US" w:eastAsia="zh-CN"/>
        </w:rPr>
        <w:t xml:space="preserve"> inter-cell interference scenario, </w:t>
      </w:r>
      <w:bookmarkStart w:id="8" w:name="OLE_LINK5"/>
      <w:r>
        <w:rPr>
          <w:rFonts w:hint="eastAsia"/>
          <w:sz w:val="20"/>
          <w:szCs w:val="20"/>
          <w:lang w:val="en-US" w:eastAsia="zh-CN"/>
        </w:rPr>
        <w:t>the test configuration difference between 8Rx and 2/4Rx tests are as follows:</w:t>
      </w:r>
      <w:bookmarkEnd w:id="8"/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407"/>
        <w:gridCol w:w="1407"/>
        <w:gridCol w:w="1407"/>
        <w:gridCol w:w="1407"/>
      </w:tblGrid>
      <w:tr w14:paraId="59ED2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</w:tcPr>
          <w:p w14:paraId="78CA3D28">
            <w:pPr>
              <w:tabs>
                <w:tab w:val="left" w:pos="1134"/>
              </w:tabs>
              <w:spacing w:before="60"/>
              <w:jc w:val="both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bookmarkStart w:id="9" w:name="OLE_LINK9"/>
          </w:p>
        </w:tc>
        <w:tc>
          <w:tcPr>
            <w:tcW w:w="1407" w:type="dxa"/>
          </w:tcPr>
          <w:p w14:paraId="45914264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07" w:type="dxa"/>
            <w:shd w:val="clear" w:color="auto" w:fill="auto"/>
            <w:vAlign w:val="top"/>
          </w:tcPr>
          <w:p w14:paraId="3277FF08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2Rx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294BA8D2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4Rx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79B1BCA5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8Rx</w:t>
            </w:r>
          </w:p>
        </w:tc>
      </w:tr>
      <w:tr w14:paraId="2278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vMerge w:val="restart"/>
          </w:tcPr>
          <w:p w14:paraId="573C0D1E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bookmarkStart w:id="10" w:name="OLE_LINK6" w:colFirst="1" w:colLast="1"/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Rank</w:t>
            </w:r>
          </w:p>
        </w:tc>
        <w:tc>
          <w:tcPr>
            <w:tcW w:w="1407" w:type="dxa"/>
          </w:tcPr>
          <w:p w14:paraId="499A2674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1407" w:type="dxa"/>
          </w:tcPr>
          <w:p w14:paraId="130EFF10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407" w:type="dxa"/>
          </w:tcPr>
          <w:p w14:paraId="6A656E17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407" w:type="dxa"/>
          </w:tcPr>
          <w:p w14:paraId="5CFEB924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</w:tr>
      <w:tr w14:paraId="67DE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vMerge w:val="continue"/>
          </w:tcPr>
          <w:p w14:paraId="00988183">
            <w:pPr>
              <w:tabs>
                <w:tab w:val="left" w:pos="1134"/>
              </w:tabs>
              <w:spacing w:before="60"/>
              <w:jc w:val="both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07" w:type="dxa"/>
          </w:tcPr>
          <w:p w14:paraId="29A7A48C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1407" w:type="dxa"/>
          </w:tcPr>
          <w:p w14:paraId="000CEEC7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407" w:type="dxa"/>
          </w:tcPr>
          <w:p w14:paraId="62FC203B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407" w:type="dxa"/>
          </w:tcPr>
          <w:p w14:paraId="4238868F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</w:tr>
      <w:bookmarkEnd w:id="10"/>
      <w:tr w14:paraId="7C6D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vMerge w:val="restart"/>
            <w:shd w:val="clear" w:color="auto" w:fill="auto"/>
            <w:vAlign w:val="top"/>
          </w:tcPr>
          <w:p w14:paraId="0F58218C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bookmarkStart w:id="11" w:name="OLE_LINK11" w:colFirst="1" w:colLast="1"/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750C672C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1654FAEE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13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984A4D0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13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FA2C448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17</w:t>
            </w:r>
          </w:p>
        </w:tc>
      </w:tr>
      <w:tr w14:paraId="493A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vMerge w:val="continue"/>
            <w:shd w:val="clear" w:color="auto" w:fill="auto"/>
            <w:vAlign w:val="top"/>
          </w:tcPr>
          <w:p w14:paraId="705330E6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407" w:type="dxa"/>
            <w:shd w:val="clear" w:color="auto" w:fill="auto"/>
            <w:vAlign w:val="top"/>
          </w:tcPr>
          <w:p w14:paraId="084EA363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0F744812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13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6F86E70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13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454B6FB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13</w:t>
            </w:r>
          </w:p>
        </w:tc>
      </w:tr>
      <w:bookmarkEnd w:id="11"/>
      <w:tr w14:paraId="43DDD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vMerge w:val="restart"/>
            <w:shd w:val="clear" w:color="auto" w:fill="auto"/>
            <w:vAlign w:val="top"/>
          </w:tcPr>
          <w:p w14:paraId="29D0CFD3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Propagation condition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C3ADD4E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74C1EEB5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C49A6DB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78F795C3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</w:tr>
      <w:tr w14:paraId="1D11E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vMerge w:val="continue"/>
            <w:shd w:val="clear" w:color="auto" w:fill="auto"/>
            <w:vAlign w:val="top"/>
          </w:tcPr>
          <w:p w14:paraId="6BFE140E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1407" w:type="dxa"/>
            <w:shd w:val="clear" w:color="auto" w:fill="auto"/>
            <w:vAlign w:val="top"/>
          </w:tcPr>
          <w:p w14:paraId="5F5AD558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136A5690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7039EDB9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438D650E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</w:tr>
      <w:bookmarkEnd w:id="9"/>
    </w:tbl>
    <w:p w14:paraId="4F088E3F"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demodulation test of intra-cell inter-user interference scenario, </w:t>
      </w:r>
      <w:bookmarkStart w:id="12" w:name="OLE_LINK10"/>
      <w:r>
        <w:rPr>
          <w:rFonts w:hint="eastAsia"/>
          <w:sz w:val="20"/>
          <w:szCs w:val="20"/>
          <w:lang w:val="en-US" w:eastAsia="zh-CN"/>
        </w:rPr>
        <w:t>the t</w:t>
      </w:r>
      <w:bookmarkEnd w:id="12"/>
      <w:r>
        <w:rPr>
          <w:rFonts w:hint="eastAsia"/>
          <w:sz w:val="20"/>
          <w:szCs w:val="20"/>
          <w:lang w:val="en-US" w:eastAsia="zh-CN"/>
        </w:rPr>
        <w:t>est configuration difference between 8Rx and 2/4Rx tests are mainly as follows: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407"/>
        <w:gridCol w:w="1407"/>
        <w:gridCol w:w="1407"/>
      </w:tblGrid>
      <w:tr w14:paraId="1B028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</w:tcPr>
          <w:p w14:paraId="017262CF">
            <w:pPr>
              <w:tabs>
                <w:tab w:val="left" w:pos="1134"/>
              </w:tabs>
              <w:spacing w:before="60"/>
              <w:jc w:val="both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07" w:type="dxa"/>
            <w:shd w:val="clear" w:color="auto" w:fill="auto"/>
            <w:vAlign w:val="top"/>
          </w:tcPr>
          <w:p w14:paraId="5B4760F6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2Rx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2A9AA3B0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4Rx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7E2930AD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8Rx</w:t>
            </w:r>
          </w:p>
        </w:tc>
      </w:tr>
      <w:tr w14:paraId="0D74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</w:tcPr>
          <w:p w14:paraId="63251874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Rank</w:t>
            </w:r>
          </w:p>
        </w:tc>
        <w:tc>
          <w:tcPr>
            <w:tcW w:w="1407" w:type="dxa"/>
          </w:tcPr>
          <w:p w14:paraId="353FDC95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1+1</w:t>
            </w:r>
          </w:p>
        </w:tc>
        <w:tc>
          <w:tcPr>
            <w:tcW w:w="1407" w:type="dxa"/>
          </w:tcPr>
          <w:p w14:paraId="042C8F5E">
            <w:pPr>
              <w:tabs>
                <w:tab w:val="left" w:pos="1134"/>
              </w:tabs>
              <w:spacing w:before="60"/>
              <w:jc w:val="both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1+1</w:t>
            </w:r>
          </w:p>
          <w:p w14:paraId="32066919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2+2</w:t>
            </w:r>
          </w:p>
        </w:tc>
        <w:tc>
          <w:tcPr>
            <w:tcW w:w="1407" w:type="dxa"/>
          </w:tcPr>
          <w:p w14:paraId="74D4F12C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2+2</w:t>
            </w:r>
          </w:p>
        </w:tc>
      </w:tr>
      <w:tr w14:paraId="1E3C4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shd w:val="clear" w:color="auto" w:fill="auto"/>
            <w:vAlign w:val="top"/>
          </w:tcPr>
          <w:p w14:paraId="598995BC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0FB61941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13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43EF4CE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13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5DB33CF3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17</w:t>
            </w:r>
          </w:p>
        </w:tc>
      </w:tr>
      <w:tr w14:paraId="5886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shd w:val="clear" w:color="auto" w:fill="auto"/>
            <w:vAlign w:val="top"/>
          </w:tcPr>
          <w:p w14:paraId="2795548E">
            <w:pPr>
              <w:tabs>
                <w:tab w:val="left" w:pos="1134"/>
              </w:tabs>
              <w:spacing w:before="60"/>
              <w:jc w:val="both"/>
              <w:rPr>
                <w:rFonts w:hint="default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Propagation condition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75DFE730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35EF1EC2">
            <w:pPr>
              <w:tabs>
                <w:tab w:val="left" w:pos="1134"/>
              </w:tabs>
              <w:spacing w:before="60"/>
              <w:jc w:val="both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  <w:p w14:paraId="44A2324A">
            <w:pPr>
              <w:tabs>
                <w:tab w:val="left" w:pos="1134"/>
              </w:tabs>
              <w:spacing w:before="60"/>
              <w:jc w:val="both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07" w:type="dxa"/>
            <w:shd w:val="clear" w:color="auto" w:fill="auto"/>
            <w:vAlign w:val="top"/>
          </w:tcPr>
          <w:p w14:paraId="46314A56">
            <w:pPr>
              <w:tabs>
                <w:tab w:val="left" w:pos="1134"/>
              </w:tabs>
              <w:spacing w:before="60"/>
              <w:jc w:val="both"/>
              <w:rPr>
                <w:rFonts w:hint="eastAsia" w:ascii="Times New Roman" w:hAnsi="Times New Roman" w:eastAsia="Yu Mincho Light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</w:tr>
    </w:tbl>
    <w:p w14:paraId="5AAACC7D">
      <w:pPr>
        <w:tabs>
          <w:tab w:val="left" w:pos="1134"/>
        </w:tabs>
        <w:spacing w:before="60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From the above tables, we observed that except for propagation condition, other test configurations for 8Rx give a higher test requirement compared with 2Rx and 4Rx. With this observation, for demodulation test, we are fine to </w:t>
      </w:r>
      <w:bookmarkStart w:id="13" w:name="OLE_LINK15"/>
      <w:r>
        <w:rPr>
          <w:rFonts w:hint="eastAsia"/>
          <w:sz w:val="20"/>
          <w:szCs w:val="20"/>
          <w:lang w:val="en-US" w:eastAsia="zh-CN"/>
        </w:rPr>
        <w:t>introduce a test applicability rule that if 8Rx tests are passed, then the test of 2/4Rx requirements can be skipped.</w:t>
      </w:r>
      <w:bookmarkEnd w:id="13"/>
    </w:p>
    <w:p w14:paraId="4A0C301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bookmarkStart w:id="14" w:name="OLE_LINK21"/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1: Introduce a test applicability rule that if 8Rx tests are passed, then the test of 2/4Rx requirements can be skipped.</w:t>
      </w:r>
    </w:p>
    <w:bookmarkEnd w:id="14"/>
    <w:p w14:paraId="2F15D089">
      <w:pP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</w:p>
    <w:p w14:paraId="151FA5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sz w:val="20"/>
          <w:szCs w:val="20"/>
          <w:u w:val="single"/>
          <w:lang w:val="en-US" w:eastAsia="ko-KR"/>
        </w:rPr>
      </w:pPr>
      <w:r>
        <w:rPr>
          <w:b/>
          <w:i/>
          <w:iCs/>
          <w:sz w:val="20"/>
          <w:szCs w:val="20"/>
          <w:u w:val="single"/>
          <w:lang w:val="en-US" w:eastAsia="ko-KR"/>
        </w:rPr>
        <w:t>Release independency</w:t>
      </w:r>
    </w:p>
    <w:p w14:paraId="703C1C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Agreement:</w:t>
      </w:r>
    </w:p>
    <w:p w14:paraId="2D59BA18">
      <w:pPr>
        <w:pStyle w:val="7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szCs w:val="24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The new Rel-19 requirements shall at least be release independent from Rel-18.</w:t>
      </w:r>
    </w:p>
    <w:p w14:paraId="3DD2C8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Remaining proposals:</w:t>
      </w:r>
    </w:p>
    <w:p w14:paraId="09752618">
      <w:pPr>
        <w:pStyle w:val="7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szCs w:val="24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Option 1:</w:t>
      </w:r>
      <w:r>
        <w:rPr>
          <w:rFonts w:eastAsia="宋体"/>
          <w:szCs w:val="24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The new Rel-19 requirements shall also be release independent from Rel-17.</w:t>
      </w:r>
    </w:p>
    <w:p w14:paraId="2BB42A1B">
      <w:pPr>
        <w:pStyle w:val="74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Option 2:</w:t>
      </w:r>
      <w:r>
        <w:rPr>
          <w:rFonts w:eastAsia="宋体"/>
          <w:szCs w:val="24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The new Rel-19 requirements shall also be release independent from Rel-17. The requirements shall be mandatory for Rel-18 and optional from Rel-17.</w:t>
      </w:r>
    </w:p>
    <w:p w14:paraId="000068D1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As specified in TS 38.307, the Demodulation requirements for 8Rx UE is mandatory release independent from Rel-17.</w:t>
      </w:r>
    </w:p>
    <w:p w14:paraId="2558F5BB"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Besides, the 2/4Rx UE demodulation and CSI requirements for MMSE-IRC receiver for scenarios with inter cell and intra cell inter user interference are mandatory release independent from Rel-17.</w:t>
      </w:r>
    </w:p>
    <w:p w14:paraId="53E28A36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Since no new signaling, UE capability, UE receiver implementation will be introduced, for the new demodulation requirements introduced from R19, it shall also be release independent from R17.</w:t>
      </w:r>
    </w:p>
    <w:p w14:paraId="1B68F11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 xml:space="preserve">Proposal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hint="eastAsia" w:eastAsia="等线"/>
          <w:b/>
          <w:bCs/>
          <w:i/>
          <w:iCs/>
          <w:sz w:val="20"/>
          <w:szCs w:val="20"/>
        </w:rPr>
        <w:t>: The new Rel-19 requirements for 8Rx should be release independent from Rel-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17</w:t>
      </w:r>
      <w:r>
        <w:rPr>
          <w:rFonts w:hint="eastAsia" w:eastAsia="等线"/>
          <w:b/>
          <w:bCs/>
          <w:i/>
          <w:iCs/>
          <w:sz w:val="20"/>
          <w:szCs w:val="20"/>
        </w:rPr>
        <w:t>.</w:t>
      </w:r>
    </w:p>
    <w:p w14:paraId="7B037FCF">
      <w:pPr>
        <w:tabs>
          <w:tab w:val="left" w:pos="1134"/>
          <w:tab w:val="left" w:pos="6000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p w14:paraId="4228841E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1FD642F8"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>
        <w:rPr>
          <w:rFonts w:hint="eastAsia" w:eastAsia="宋体"/>
          <w:sz w:val="20"/>
          <w:szCs w:val="20"/>
          <w:lang w:val="en-US" w:eastAsia="zh-CN"/>
        </w:rPr>
        <w:t>provide our opinion about test applicability rule and release independent.</w:t>
      </w:r>
      <w:r>
        <w:rPr>
          <w:sz w:val="20"/>
          <w:szCs w:val="20"/>
        </w:rPr>
        <w:t xml:space="preserve"> The proposals are:</w:t>
      </w:r>
      <w:bookmarkEnd w:id="4"/>
      <w:bookmarkEnd w:id="5"/>
    </w:p>
    <w:p w14:paraId="1943254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1: Introduce a test applicability rule that if 8Rx tests are passed, then the test of 2/4Rx requirements can be skipped.</w:t>
      </w:r>
    </w:p>
    <w:p w14:paraId="3FA7C0BC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 xml:space="preserve">Proposal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hint="eastAsia" w:eastAsia="等线"/>
          <w:b/>
          <w:bCs/>
          <w:i/>
          <w:iCs/>
          <w:sz w:val="20"/>
          <w:szCs w:val="20"/>
        </w:rPr>
        <w:t>: The new Rel-19 requirements for 8Rx should be release independent from Rel-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17</w:t>
      </w:r>
      <w:r>
        <w:rPr>
          <w:rFonts w:hint="eastAsia" w:eastAsia="等线"/>
          <w:b/>
          <w:bCs/>
          <w:i/>
          <w:iCs/>
          <w:sz w:val="20"/>
          <w:szCs w:val="20"/>
        </w:rPr>
        <w:t>.</w:t>
      </w:r>
    </w:p>
    <w:p w14:paraId="2748C8FB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28273C3A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</w:t>
      </w:r>
      <w:r>
        <w:rPr>
          <w:rFonts w:hint="eastAsia" w:eastAsiaTheme="minorEastAsia"/>
          <w:sz w:val="20"/>
          <w:szCs w:val="20"/>
          <w:lang w:val="en-US" w:eastAsia="zh-CN"/>
        </w:rPr>
        <w:t>504694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Way forward for [114bis][322] NR_demod_Ph5_Part2_UE</w:t>
      </w:r>
      <w:r>
        <w:rPr>
          <w:rFonts w:hint="eastAsia" w:eastAsiaTheme="minorEastAsia"/>
          <w:sz w:val="20"/>
          <w:szCs w:val="20"/>
          <w:lang w:val="en-US" w:eastAsia="zh-CN"/>
        </w:rPr>
        <w:t>, Moderator (Nokia)</w:t>
      </w:r>
    </w:p>
    <w:p w14:paraId="3821C1D2">
      <w:pPr>
        <w:rPr>
          <w:rFonts w:eastAsiaTheme="minorEastAsia"/>
          <w:sz w:val="20"/>
          <w:szCs w:val="20"/>
          <w:lang w:val="en-GB"/>
        </w:rPr>
      </w:pP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67B5222"/>
    <w:multiLevelType w:val="multilevel"/>
    <w:tmpl w:val="367B5222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1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88" w:hanging="36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17628E0"/>
    <w:rsid w:val="01804D13"/>
    <w:rsid w:val="02163B5E"/>
    <w:rsid w:val="02195828"/>
    <w:rsid w:val="024C3B89"/>
    <w:rsid w:val="03BD00D9"/>
    <w:rsid w:val="03EC63C9"/>
    <w:rsid w:val="044A4CEC"/>
    <w:rsid w:val="046240A5"/>
    <w:rsid w:val="04B95A16"/>
    <w:rsid w:val="04BD7273"/>
    <w:rsid w:val="053F4D86"/>
    <w:rsid w:val="06D303C0"/>
    <w:rsid w:val="072126BE"/>
    <w:rsid w:val="076B39E4"/>
    <w:rsid w:val="07DC2DF1"/>
    <w:rsid w:val="07EA14B7"/>
    <w:rsid w:val="0852407E"/>
    <w:rsid w:val="09183871"/>
    <w:rsid w:val="092A6203"/>
    <w:rsid w:val="0A4D7676"/>
    <w:rsid w:val="0B031BD3"/>
    <w:rsid w:val="0B5E1C21"/>
    <w:rsid w:val="0BDC35E1"/>
    <w:rsid w:val="0E373442"/>
    <w:rsid w:val="0E3B3604"/>
    <w:rsid w:val="0E805B23"/>
    <w:rsid w:val="0EC114B0"/>
    <w:rsid w:val="0ED01813"/>
    <w:rsid w:val="0F550875"/>
    <w:rsid w:val="110C3BDF"/>
    <w:rsid w:val="113C04E1"/>
    <w:rsid w:val="11EC3624"/>
    <w:rsid w:val="12100603"/>
    <w:rsid w:val="138B6BB2"/>
    <w:rsid w:val="139117AD"/>
    <w:rsid w:val="143164E7"/>
    <w:rsid w:val="143E2D1E"/>
    <w:rsid w:val="14DA3FBC"/>
    <w:rsid w:val="14F2795D"/>
    <w:rsid w:val="15515FEF"/>
    <w:rsid w:val="160675EB"/>
    <w:rsid w:val="161D3503"/>
    <w:rsid w:val="16383B80"/>
    <w:rsid w:val="1706234B"/>
    <w:rsid w:val="17731A13"/>
    <w:rsid w:val="1810439F"/>
    <w:rsid w:val="18761C3F"/>
    <w:rsid w:val="18B91234"/>
    <w:rsid w:val="18C46E74"/>
    <w:rsid w:val="19911272"/>
    <w:rsid w:val="19B41DED"/>
    <w:rsid w:val="1A7651FA"/>
    <w:rsid w:val="1C277B2A"/>
    <w:rsid w:val="1FCA4D36"/>
    <w:rsid w:val="202A27D1"/>
    <w:rsid w:val="206A69BE"/>
    <w:rsid w:val="20EF1296"/>
    <w:rsid w:val="218A2C7D"/>
    <w:rsid w:val="21DE3A39"/>
    <w:rsid w:val="22BE71D5"/>
    <w:rsid w:val="242A63A6"/>
    <w:rsid w:val="244E0048"/>
    <w:rsid w:val="24596D0B"/>
    <w:rsid w:val="246A4318"/>
    <w:rsid w:val="24713BE1"/>
    <w:rsid w:val="24C811D2"/>
    <w:rsid w:val="24F611B1"/>
    <w:rsid w:val="25CF603E"/>
    <w:rsid w:val="26B36FEF"/>
    <w:rsid w:val="26E5752B"/>
    <w:rsid w:val="27513330"/>
    <w:rsid w:val="278F1C29"/>
    <w:rsid w:val="282F4A63"/>
    <w:rsid w:val="283574F8"/>
    <w:rsid w:val="284736CF"/>
    <w:rsid w:val="28F60702"/>
    <w:rsid w:val="294319F9"/>
    <w:rsid w:val="29EB4110"/>
    <w:rsid w:val="2A7121B2"/>
    <w:rsid w:val="2A7E3D94"/>
    <w:rsid w:val="2A8E045D"/>
    <w:rsid w:val="2BD07170"/>
    <w:rsid w:val="2CB0799D"/>
    <w:rsid w:val="2CF775D2"/>
    <w:rsid w:val="2DBC1492"/>
    <w:rsid w:val="2DEE751D"/>
    <w:rsid w:val="2F864066"/>
    <w:rsid w:val="30A071DD"/>
    <w:rsid w:val="31750BD1"/>
    <w:rsid w:val="317E652A"/>
    <w:rsid w:val="32997AB4"/>
    <w:rsid w:val="32F26A43"/>
    <w:rsid w:val="33122AC2"/>
    <w:rsid w:val="33BE40E6"/>
    <w:rsid w:val="341D68C0"/>
    <w:rsid w:val="381049FC"/>
    <w:rsid w:val="3AAC6A3E"/>
    <w:rsid w:val="3B862944"/>
    <w:rsid w:val="3B952CE7"/>
    <w:rsid w:val="3CA34736"/>
    <w:rsid w:val="3DBD6EB2"/>
    <w:rsid w:val="3F792880"/>
    <w:rsid w:val="406B713F"/>
    <w:rsid w:val="40CF2BC3"/>
    <w:rsid w:val="410D6832"/>
    <w:rsid w:val="41134EC3"/>
    <w:rsid w:val="41430049"/>
    <w:rsid w:val="418D344D"/>
    <w:rsid w:val="41D37C5D"/>
    <w:rsid w:val="4202058A"/>
    <w:rsid w:val="4202767A"/>
    <w:rsid w:val="429546AA"/>
    <w:rsid w:val="43131FB5"/>
    <w:rsid w:val="436B3EEB"/>
    <w:rsid w:val="4374126F"/>
    <w:rsid w:val="44B24329"/>
    <w:rsid w:val="45150359"/>
    <w:rsid w:val="45624256"/>
    <w:rsid w:val="46925129"/>
    <w:rsid w:val="46C06704"/>
    <w:rsid w:val="46E32FBC"/>
    <w:rsid w:val="474E78D3"/>
    <w:rsid w:val="4AA160C5"/>
    <w:rsid w:val="4AAF53D6"/>
    <w:rsid w:val="4B457437"/>
    <w:rsid w:val="4BBB7A2C"/>
    <w:rsid w:val="4DA37337"/>
    <w:rsid w:val="4DD642A7"/>
    <w:rsid w:val="4F4608C1"/>
    <w:rsid w:val="4FD81069"/>
    <w:rsid w:val="501228E1"/>
    <w:rsid w:val="501677F0"/>
    <w:rsid w:val="502A4A62"/>
    <w:rsid w:val="504A4FDD"/>
    <w:rsid w:val="50CA72DC"/>
    <w:rsid w:val="511C3E4C"/>
    <w:rsid w:val="51F743FC"/>
    <w:rsid w:val="53F83FD3"/>
    <w:rsid w:val="54CD03D4"/>
    <w:rsid w:val="554368E6"/>
    <w:rsid w:val="55487CEC"/>
    <w:rsid w:val="558B6A30"/>
    <w:rsid w:val="559E607A"/>
    <w:rsid w:val="55E26BB3"/>
    <w:rsid w:val="56855E54"/>
    <w:rsid w:val="580B0311"/>
    <w:rsid w:val="583F05DF"/>
    <w:rsid w:val="584D0A2B"/>
    <w:rsid w:val="58556A81"/>
    <w:rsid w:val="59126391"/>
    <w:rsid w:val="592D7A06"/>
    <w:rsid w:val="59B212B6"/>
    <w:rsid w:val="5B330B7A"/>
    <w:rsid w:val="5C257189"/>
    <w:rsid w:val="5DB71F45"/>
    <w:rsid w:val="5DEB6EA5"/>
    <w:rsid w:val="5E322F82"/>
    <w:rsid w:val="5F123686"/>
    <w:rsid w:val="5F3A2EA9"/>
    <w:rsid w:val="600D6E62"/>
    <w:rsid w:val="620A7660"/>
    <w:rsid w:val="622B6C71"/>
    <w:rsid w:val="628F7645"/>
    <w:rsid w:val="62C60989"/>
    <w:rsid w:val="659A4242"/>
    <w:rsid w:val="65C91B43"/>
    <w:rsid w:val="65CA1897"/>
    <w:rsid w:val="667944E3"/>
    <w:rsid w:val="66CB165C"/>
    <w:rsid w:val="67254FAA"/>
    <w:rsid w:val="67D31308"/>
    <w:rsid w:val="68B34721"/>
    <w:rsid w:val="69F6022C"/>
    <w:rsid w:val="6A2853AA"/>
    <w:rsid w:val="6A675B29"/>
    <w:rsid w:val="6BF53BAD"/>
    <w:rsid w:val="6C5C2CD7"/>
    <w:rsid w:val="6C7B38DA"/>
    <w:rsid w:val="6E22773B"/>
    <w:rsid w:val="6F71461A"/>
    <w:rsid w:val="6F997566"/>
    <w:rsid w:val="6FFE2CF5"/>
    <w:rsid w:val="70232456"/>
    <w:rsid w:val="707A02B4"/>
    <w:rsid w:val="711D4E21"/>
    <w:rsid w:val="71882E8E"/>
    <w:rsid w:val="71C95ABE"/>
    <w:rsid w:val="73642131"/>
    <w:rsid w:val="73FD462A"/>
    <w:rsid w:val="74192D01"/>
    <w:rsid w:val="74595EA3"/>
    <w:rsid w:val="74A619E4"/>
    <w:rsid w:val="74D41FF8"/>
    <w:rsid w:val="74DE1908"/>
    <w:rsid w:val="75827AF8"/>
    <w:rsid w:val="75B92E5D"/>
    <w:rsid w:val="75CA3013"/>
    <w:rsid w:val="769A7557"/>
    <w:rsid w:val="77DA1E49"/>
    <w:rsid w:val="78640611"/>
    <w:rsid w:val="78DD19E0"/>
    <w:rsid w:val="79355A99"/>
    <w:rsid w:val="79427311"/>
    <w:rsid w:val="7A4F45F4"/>
    <w:rsid w:val="7A840850"/>
    <w:rsid w:val="7A9A41EB"/>
    <w:rsid w:val="7B903AA1"/>
    <w:rsid w:val="7CAD001B"/>
    <w:rsid w:val="7D0D4989"/>
    <w:rsid w:val="7D4F6355"/>
    <w:rsid w:val="7DFE2E40"/>
    <w:rsid w:val="7E516DF9"/>
    <w:rsid w:val="7E675D6F"/>
    <w:rsid w:val="7EF91DDE"/>
    <w:rsid w:val="7F1000B5"/>
    <w:rsid w:val="7F64728F"/>
    <w:rsid w:val="7F7B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2366</Words>
  <Characters>13491</Characters>
  <Lines>112</Lines>
  <Paragraphs>31</Paragraphs>
  <TotalTime>5</TotalTime>
  <ScaleCrop>false</ScaleCrop>
  <LinksUpToDate>false</LinksUpToDate>
  <CharactersWithSpaces>15826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2025-05-09T07:10:20Z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1B5FA489B6684E2C9426DDD8CDDDA00C</vt:lpwstr>
  </property>
</Properties>
</file>